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5BAD" w14:textId="3E3C7BF4" w:rsidR="00E92AAE" w:rsidRDefault="006D4BCF">
      <w:r w:rsidRPr="006D4BCF">
        <w:rPr>
          <w:u w:val="single"/>
        </w:rPr>
        <w:t>Topics in Geriatrics</w:t>
      </w:r>
      <w:r>
        <w:t xml:space="preserve">: Strategies </w:t>
      </w:r>
      <w:proofErr w:type="gramStart"/>
      <w:r>
        <w:t>To</w:t>
      </w:r>
      <w:proofErr w:type="gramEnd"/>
      <w:r>
        <w:t xml:space="preserve"> </w:t>
      </w:r>
      <w:r w:rsidR="002D281F">
        <w:t>Measure</w:t>
      </w:r>
      <w:r>
        <w:t xml:space="preserve"> </w:t>
      </w:r>
      <w:r w:rsidR="00AC46C7">
        <w:t>fall risk</w:t>
      </w:r>
      <w:r w:rsidR="00B40B02">
        <w:t xml:space="preserve"> </w:t>
      </w:r>
      <w:r w:rsidR="00612BF9">
        <w:t>i</w:t>
      </w:r>
      <w:r>
        <w:t>n The Geriatric Population</w:t>
      </w:r>
      <w:r w:rsidR="00B07AB9">
        <w:t>: The STEADI</w:t>
      </w:r>
    </w:p>
    <w:p w14:paraId="02CBF3F6" w14:textId="77777777" w:rsidR="006D4BCF" w:rsidRDefault="006D4BCF"/>
    <w:p w14:paraId="655ADE5C" w14:textId="3170D73F" w:rsidR="006D4BCF" w:rsidRDefault="00CB6BFA">
      <w:r>
        <w:t>Falls</w:t>
      </w:r>
      <w:r w:rsidR="006D2082">
        <w:t xml:space="preserve"> are the leading cause of injuries</w:t>
      </w:r>
      <w:r>
        <w:t xml:space="preserve"> and death</w:t>
      </w:r>
      <w:r w:rsidR="006D2082">
        <w:t>s</w:t>
      </w:r>
      <w:r>
        <w:t xml:space="preserve"> in individuals </w:t>
      </w:r>
      <w:r w:rsidR="00612BF9">
        <w:t>over 65 years old with 28.7% of those individuals admitting to</w:t>
      </w:r>
      <w:r w:rsidR="00272D34">
        <w:t xml:space="preserve"> having a</w:t>
      </w:r>
      <w:r w:rsidR="00916AF1">
        <w:t xml:space="preserve">t least </w:t>
      </w:r>
      <w:r w:rsidR="00C421AB">
        <w:t>one fall a</w:t>
      </w:r>
      <w:r w:rsidR="00916AF1">
        <w:t xml:space="preserve"> year</w:t>
      </w:r>
      <w:r w:rsidR="00E00244">
        <w:rPr>
          <w:vertAlign w:val="superscript"/>
        </w:rPr>
        <w:t>1</w:t>
      </w:r>
      <w:r w:rsidR="00E00244">
        <w:t>.</w:t>
      </w:r>
      <w:r>
        <w:t xml:space="preserve"> </w:t>
      </w:r>
      <w:r w:rsidR="00A40BB0">
        <w:t>Fifty percent of i</w:t>
      </w:r>
      <w:r w:rsidR="00893B4F">
        <w:t xml:space="preserve">ndividuals over 80 years old fall at least once a year. </w:t>
      </w:r>
      <w:r w:rsidR="006D2082">
        <w:t xml:space="preserve">A study performed in 2011 revealed </w:t>
      </w:r>
      <w:r w:rsidR="00916AF1">
        <w:t xml:space="preserve">the </w:t>
      </w:r>
      <w:r w:rsidR="00C421AB">
        <w:t>main</w:t>
      </w:r>
      <w:r w:rsidR="006D2082">
        <w:t xml:space="preserve"> reasons </w:t>
      </w:r>
      <w:r w:rsidR="00C421AB">
        <w:t>why</w:t>
      </w:r>
      <w:r w:rsidR="006D2082">
        <w:t xml:space="preserve"> physicians don’t perform fall screenings. These reasons included not seeing falls as a primary issue for a visit, not enough time during visits, and not having </w:t>
      </w:r>
      <w:r w:rsidR="00916AF1">
        <w:t>adequate</w:t>
      </w:r>
      <w:r w:rsidR="00E00244">
        <w:t xml:space="preserve"> educational materials</w:t>
      </w:r>
      <w:r w:rsidR="00E00244">
        <w:rPr>
          <w:vertAlign w:val="superscript"/>
        </w:rPr>
        <w:t>2</w:t>
      </w:r>
      <w:r w:rsidR="00C421AB">
        <w:t xml:space="preserve"> Measuring</w:t>
      </w:r>
      <w:r w:rsidR="00612BF9">
        <w:t xml:space="preserve"> fall risk is </w:t>
      </w:r>
      <w:r w:rsidR="00C421AB">
        <w:t>essential</w:t>
      </w:r>
      <w:r w:rsidR="00612BF9">
        <w:t xml:space="preserve"> </w:t>
      </w:r>
      <w:r w:rsidR="006B2E7F">
        <w:t xml:space="preserve">to educate older individuals on what aspects </w:t>
      </w:r>
      <w:r w:rsidR="00272D34">
        <w:t xml:space="preserve">in their life </w:t>
      </w:r>
      <w:r w:rsidR="006B2E7F">
        <w:t xml:space="preserve">they can improve on in order to avoid injury and death from falls. </w:t>
      </w:r>
      <w:r w:rsidR="00612BF9">
        <w:t xml:space="preserve"> </w:t>
      </w:r>
    </w:p>
    <w:p w14:paraId="6A115FE4" w14:textId="77777777" w:rsidR="00760C81" w:rsidRDefault="00760C81"/>
    <w:p w14:paraId="379890F6" w14:textId="77777777" w:rsidR="00760C81" w:rsidRDefault="00760C81">
      <w:r w:rsidRPr="006D4BCF">
        <w:rPr>
          <w:u w:val="single"/>
        </w:rPr>
        <w:t>Objectives</w:t>
      </w:r>
      <w:r>
        <w:t>:</w:t>
      </w:r>
    </w:p>
    <w:p w14:paraId="12709B95" w14:textId="438D8D32" w:rsidR="00760C81" w:rsidRDefault="00760C81">
      <w:r>
        <w:t>The objectives of this page are to:</w:t>
      </w:r>
    </w:p>
    <w:p w14:paraId="050D5329" w14:textId="77777777" w:rsidR="00760C81" w:rsidRDefault="00760C81">
      <w:r>
        <w:t>1.</w:t>
      </w:r>
      <w:r w:rsidR="00272D34">
        <w:t xml:space="preserve"> Know the definition of a fall.</w:t>
      </w:r>
    </w:p>
    <w:p w14:paraId="6B3C0FED" w14:textId="77777777" w:rsidR="00760C81" w:rsidRDefault="00760C81">
      <w:r>
        <w:t>2.</w:t>
      </w:r>
      <w:r w:rsidR="00272D34">
        <w:t xml:space="preserve"> Know what aspects contribute to fall risk.</w:t>
      </w:r>
    </w:p>
    <w:p w14:paraId="7A3BF499" w14:textId="742B5A84" w:rsidR="00760C81" w:rsidRDefault="00760C81">
      <w:r>
        <w:t>3.</w:t>
      </w:r>
      <w:r w:rsidR="00272D34">
        <w:t xml:space="preserve"> </w:t>
      </w:r>
      <w:r w:rsidR="00B07AB9">
        <w:t>Know h</w:t>
      </w:r>
      <w:r w:rsidR="00272D34">
        <w:t xml:space="preserve">ow </w:t>
      </w:r>
      <w:r w:rsidR="00B07AB9">
        <w:t>to</w:t>
      </w:r>
      <w:r w:rsidR="00272D34">
        <w:t xml:space="preserve"> measure fall risk.</w:t>
      </w:r>
    </w:p>
    <w:p w14:paraId="69239B5F" w14:textId="77777777" w:rsidR="006D4BCF" w:rsidRDefault="006D4BCF">
      <w:r>
        <w:t>4.</w:t>
      </w:r>
      <w:r w:rsidR="00272D34">
        <w:t xml:space="preserve"> Know what strategies can be incorporated to decrease fall risk.</w:t>
      </w:r>
    </w:p>
    <w:p w14:paraId="160C8D37" w14:textId="77777777" w:rsidR="00760C81" w:rsidRDefault="00760C81"/>
    <w:p w14:paraId="7A923A90" w14:textId="77777777" w:rsidR="00760C81" w:rsidRDefault="00760C81"/>
    <w:p w14:paraId="56DDA05F" w14:textId="23AA6C52" w:rsidR="00760C81" w:rsidRPr="006D4BCF" w:rsidRDefault="006D4BCF">
      <w:pPr>
        <w:rPr>
          <w:u w:val="single"/>
        </w:rPr>
      </w:pPr>
      <w:r>
        <w:rPr>
          <w:u w:val="single"/>
        </w:rPr>
        <w:t>Information A</w:t>
      </w:r>
      <w:r w:rsidR="00760C81" w:rsidRPr="006D4BCF">
        <w:rPr>
          <w:u w:val="single"/>
        </w:rPr>
        <w:t xml:space="preserve">bout </w:t>
      </w:r>
      <w:r w:rsidR="007E0226">
        <w:rPr>
          <w:u w:val="single"/>
        </w:rPr>
        <w:t>Fall Risk</w:t>
      </w:r>
      <w:r>
        <w:rPr>
          <w:u w:val="single"/>
        </w:rPr>
        <w:t>:</w:t>
      </w:r>
    </w:p>
    <w:p w14:paraId="0F5E324F" w14:textId="77777777" w:rsidR="00760C81" w:rsidRDefault="00760C81"/>
    <w:p w14:paraId="6794AA9A" w14:textId="257E5B9E" w:rsidR="00422A5A" w:rsidRDefault="00422A5A">
      <w:r>
        <w:t xml:space="preserve">A fall </w:t>
      </w:r>
      <w:r w:rsidR="009F55E0">
        <w:t>is defined as unintentionally coming to rest from a higher surface to a lower surface not caused by an exte</w:t>
      </w:r>
      <w:r w:rsidR="00E00244">
        <w:t>rnal force or medical condition</w:t>
      </w:r>
      <w:r w:rsidR="00E00244">
        <w:rPr>
          <w:vertAlign w:val="superscript"/>
        </w:rPr>
        <w:t>3</w:t>
      </w:r>
      <w:r w:rsidR="00E00244">
        <w:t xml:space="preserve">. </w:t>
      </w:r>
      <w:r w:rsidR="00064E99">
        <w:t>According to the CDC, o</w:t>
      </w:r>
      <w:r w:rsidR="004720C7">
        <w:t xml:space="preserve">lder individuals should </w:t>
      </w:r>
      <w:r w:rsidR="00064E99">
        <w:t xml:space="preserve">first </w:t>
      </w:r>
      <w:r w:rsidR="004720C7">
        <w:t>focus on modifiable risk factors</w:t>
      </w:r>
      <w:r w:rsidR="00064E99">
        <w:t xml:space="preserve"> to avoid fall risk. </w:t>
      </w:r>
      <w:r w:rsidR="007E0226">
        <w:t xml:space="preserve">These risk factors </w:t>
      </w:r>
      <w:r w:rsidR="00064E99">
        <w:t>include lower extremity weakness, gait and balance difficulties, postural dizziness, poor vision, medications, foot/shoe problems, and home hazards</w:t>
      </w:r>
      <w:r w:rsidR="00E00244">
        <w:rPr>
          <w:vertAlign w:val="superscript"/>
        </w:rPr>
        <w:t>1</w:t>
      </w:r>
      <w:r w:rsidR="00E00244">
        <w:t xml:space="preserve">. </w:t>
      </w:r>
      <w:r w:rsidR="00343FF4">
        <w:t>In one year, there is a 32% chance of falling if two risk factors are present, a 60% increase for three risk factors, and 78% increase for fou</w:t>
      </w:r>
      <w:r w:rsidR="00E00244">
        <w:t>r or more risk factors present</w:t>
      </w:r>
      <w:r w:rsidR="00E00244">
        <w:rPr>
          <w:vertAlign w:val="superscript"/>
        </w:rPr>
        <w:t>4</w:t>
      </w:r>
      <w:r w:rsidR="00343FF4">
        <w:t xml:space="preserve">. </w:t>
      </w:r>
    </w:p>
    <w:p w14:paraId="01395572" w14:textId="77777777" w:rsidR="006D4BCF" w:rsidRDefault="006D4BCF"/>
    <w:p w14:paraId="62EB8BA0" w14:textId="75DEC337" w:rsidR="00DF7C35" w:rsidRDefault="009D29B0">
      <w:r>
        <w:t xml:space="preserve">The </w:t>
      </w:r>
      <w:r w:rsidR="00DF7C35">
        <w:t>STE</w:t>
      </w:r>
      <w:r w:rsidR="00422A5A">
        <w:t>A</w:t>
      </w:r>
      <w:r w:rsidR="00DF7C35">
        <w:t>DI</w:t>
      </w:r>
      <w:r w:rsidR="00BB7A8F">
        <w:t xml:space="preserve"> (Stop Elderly Accidents, Deaths, and Injuries</w:t>
      </w:r>
      <w:r w:rsidR="000069A9">
        <w:t xml:space="preserve">) tool kit assess fall risk by providing an algorithm </w:t>
      </w:r>
      <w:r w:rsidR="000B2AEB">
        <w:t xml:space="preserve">and a Stay Independent self-risk assessment brochure. </w:t>
      </w:r>
      <w:r w:rsidR="000069A9">
        <w:t xml:space="preserve"> </w:t>
      </w:r>
      <w:r w:rsidR="000B2AEB">
        <w:t xml:space="preserve">Answers to questions on these assessments will help </w:t>
      </w:r>
      <w:r w:rsidR="00384A5A">
        <w:t>detect</w:t>
      </w:r>
      <w:r w:rsidR="000B2AEB">
        <w:t xml:space="preserve"> key fall risk factors and provide treatment ideas for each. </w:t>
      </w:r>
      <w:r w:rsidR="002F3EEA">
        <w:t>The STEADI tool kit assess gait, strength, and balance by providing directions for the Timed Up and Go test, the 30-sec chair stand, and the 4-stage balance test. The kit also provides directions for measuring for orthostatic hypotension. The results of all measures are recorded on a single form to be included in the patient’s chart or scanned into an electronic medical record. Lastly, the kit contains referral forms for physicians as well as</w:t>
      </w:r>
      <w:r w:rsidR="00384A5A">
        <w:t xml:space="preserve"> brochures,</w:t>
      </w:r>
      <w:r w:rsidR="002F3EEA">
        <w:t xml:space="preserve"> </w:t>
      </w:r>
      <w:r w:rsidR="00384A5A">
        <w:t>home safety checklists, and exercises designed for patient use</w:t>
      </w:r>
      <w:r w:rsidR="00E00244">
        <w:rPr>
          <w:vertAlign w:val="superscript"/>
        </w:rPr>
        <w:t>5</w:t>
      </w:r>
      <w:r w:rsidR="00E00244">
        <w:t>.</w:t>
      </w:r>
      <w:r w:rsidR="00384A5A">
        <w:t xml:space="preserve"> </w:t>
      </w:r>
    </w:p>
    <w:p w14:paraId="166F7641" w14:textId="77777777" w:rsidR="006D4BCF" w:rsidRDefault="006D4BCF"/>
    <w:p w14:paraId="4D184CE1" w14:textId="53D29460" w:rsidR="006D4BCF" w:rsidRPr="00FD252F" w:rsidRDefault="006D4BCF">
      <w:pPr>
        <w:rPr>
          <w:u w:val="single"/>
        </w:rPr>
      </w:pPr>
      <w:r w:rsidRPr="00FD252F">
        <w:rPr>
          <w:u w:val="single"/>
        </w:rPr>
        <w:t xml:space="preserve">Suggestions </w:t>
      </w:r>
      <w:r w:rsidR="00FD252F" w:rsidRPr="00FD252F">
        <w:rPr>
          <w:u w:val="single"/>
        </w:rPr>
        <w:t xml:space="preserve">for </w:t>
      </w:r>
      <w:r w:rsidRPr="00FD252F">
        <w:rPr>
          <w:u w:val="single"/>
        </w:rPr>
        <w:t>use of the examination measure</w:t>
      </w:r>
      <w:r w:rsidR="00FD252F">
        <w:rPr>
          <w:u w:val="single"/>
        </w:rPr>
        <w:t>:</w:t>
      </w:r>
    </w:p>
    <w:p w14:paraId="3ADA5CE1" w14:textId="778A4977" w:rsidR="006E17BF" w:rsidRDefault="006E17BF">
      <w:r>
        <w:t xml:space="preserve">Preventing falls is a multifactorial approach.  </w:t>
      </w:r>
      <w:r w:rsidR="00D727D2">
        <w:t>Older individuals must be screened for any previous fall history, polypharmacy, gait and balance</w:t>
      </w:r>
      <w:r w:rsidR="00D84E99">
        <w:t xml:space="preserve"> abnormalities</w:t>
      </w:r>
      <w:r w:rsidR="00D727D2">
        <w:t>, strength</w:t>
      </w:r>
      <w:r w:rsidR="00D84E99">
        <w:t xml:space="preserve"> loss</w:t>
      </w:r>
      <w:r w:rsidR="00D727D2">
        <w:t xml:space="preserve">, and nutrition </w:t>
      </w:r>
      <w:r w:rsidR="00D84E99">
        <w:t>deficits</w:t>
      </w:r>
      <w:r w:rsidR="00D727D2">
        <w:t xml:space="preserve">.  </w:t>
      </w:r>
      <w:r w:rsidR="006637C1">
        <w:t>Physicians can be provided with screening guides</w:t>
      </w:r>
      <w:r w:rsidR="00B07AB9">
        <w:t xml:space="preserve"> such as the STEADI</w:t>
      </w:r>
      <w:r w:rsidR="006637C1">
        <w:t xml:space="preserve"> </w:t>
      </w:r>
      <w:r w:rsidR="00B07AB9">
        <w:t>along with</w:t>
      </w:r>
      <w:r w:rsidR="006637C1">
        <w:t xml:space="preserve"> referral resources in order to aide in fall r</w:t>
      </w:r>
      <w:r w:rsidR="00E00244">
        <w:t>isk prevention for the elderly</w:t>
      </w:r>
      <w:r w:rsidR="00E00244">
        <w:rPr>
          <w:vertAlign w:val="superscript"/>
        </w:rPr>
        <w:t>2</w:t>
      </w:r>
      <w:r w:rsidR="00E00244">
        <w:t xml:space="preserve">.  </w:t>
      </w:r>
      <w:r w:rsidR="00B12E1A">
        <w:t xml:space="preserve">It would also be </w:t>
      </w:r>
      <w:r w:rsidR="00B12E1A">
        <w:lastRenderedPageBreak/>
        <w:t xml:space="preserve">beneficial to educate </w:t>
      </w:r>
      <w:r w:rsidR="00290498">
        <w:t>health care providers</w:t>
      </w:r>
      <w:r w:rsidR="00B12E1A">
        <w:t xml:space="preserve"> about incentives provided by Medicare and Medicaid services in order to encourage use of fall prevention measures</w:t>
      </w:r>
      <w:r w:rsidR="00E00244">
        <w:rPr>
          <w:vertAlign w:val="superscript"/>
        </w:rPr>
        <w:t>6</w:t>
      </w:r>
      <w:r w:rsidR="00B12E1A">
        <w:t xml:space="preserve">. </w:t>
      </w:r>
    </w:p>
    <w:p w14:paraId="384A2AD8" w14:textId="77777777" w:rsidR="00760C81" w:rsidRDefault="00760C81"/>
    <w:p w14:paraId="6CED6011" w14:textId="6E72D06F" w:rsidR="00290498" w:rsidRDefault="00290498">
      <w:r>
        <w:t>Pros:</w:t>
      </w:r>
    </w:p>
    <w:p w14:paraId="25595085" w14:textId="2BCB1B85" w:rsidR="00290498" w:rsidRDefault="00290498" w:rsidP="00290498">
      <w:pPr>
        <w:pStyle w:val="ListParagraph"/>
        <w:numPr>
          <w:ilvl w:val="0"/>
          <w:numId w:val="2"/>
        </w:numPr>
      </w:pPr>
      <w:r>
        <w:t>The STEADI can be used as a screen, assessment, and intervention tool</w:t>
      </w:r>
      <w:r w:rsidR="00706AB9">
        <w:t>.</w:t>
      </w:r>
    </w:p>
    <w:p w14:paraId="5C1B52A5" w14:textId="3FCAB30A" w:rsidR="00B61E55" w:rsidRDefault="00B61E55" w:rsidP="00290498">
      <w:pPr>
        <w:pStyle w:val="ListParagraph"/>
        <w:numPr>
          <w:ilvl w:val="0"/>
          <w:numId w:val="2"/>
        </w:numPr>
      </w:pPr>
      <w:r>
        <w:t xml:space="preserve">Includes educational handouts and brochures. </w:t>
      </w:r>
    </w:p>
    <w:p w14:paraId="0AE0D877" w14:textId="711D18CB" w:rsidR="00290498" w:rsidRDefault="00E00244" w:rsidP="00290498">
      <w:pPr>
        <w:pStyle w:val="ListParagraph"/>
        <w:numPr>
          <w:ilvl w:val="0"/>
          <w:numId w:val="2"/>
        </w:numPr>
      </w:pPr>
      <w:r>
        <w:t>It is</w:t>
      </w:r>
      <w:r w:rsidR="00290498">
        <w:t xml:space="preserve"> a multifactorial approach for fall risk </w:t>
      </w:r>
      <w:r w:rsidR="00E129C3">
        <w:t>assessment</w:t>
      </w:r>
      <w:r>
        <w:t>.</w:t>
      </w:r>
    </w:p>
    <w:p w14:paraId="135902BD" w14:textId="60D85808" w:rsidR="00E00244" w:rsidRDefault="00E00244" w:rsidP="00290498">
      <w:pPr>
        <w:pStyle w:val="ListParagraph"/>
        <w:numPr>
          <w:ilvl w:val="0"/>
          <w:numId w:val="2"/>
        </w:numPr>
      </w:pPr>
      <w:r>
        <w:t>Recurrent falls have been shown to decrease with the use of the STEADI from 1.5% to 0.6%</w:t>
      </w:r>
      <w:r>
        <w:rPr>
          <w:vertAlign w:val="superscript"/>
        </w:rPr>
        <w:t>7</w:t>
      </w:r>
      <w:r>
        <w:t>.</w:t>
      </w:r>
    </w:p>
    <w:p w14:paraId="223D24CD" w14:textId="231B5E31" w:rsidR="00AB61B5" w:rsidRDefault="00AB61B5" w:rsidP="00AB61B5">
      <w:r>
        <w:t>Cons:</w:t>
      </w:r>
    </w:p>
    <w:p w14:paraId="198F2216" w14:textId="161CEC0B" w:rsidR="00AB61B5" w:rsidRDefault="00AB61B5" w:rsidP="00AB61B5">
      <w:pPr>
        <w:pStyle w:val="ListParagraph"/>
        <w:numPr>
          <w:ilvl w:val="0"/>
          <w:numId w:val="4"/>
        </w:numPr>
      </w:pPr>
      <w:r>
        <w:t xml:space="preserve">Requires some training </w:t>
      </w:r>
      <w:r w:rsidR="00706AB9">
        <w:t>for</w:t>
      </w:r>
      <w:r>
        <w:t xml:space="preserve"> use</w:t>
      </w:r>
      <w:r w:rsidR="00706AB9">
        <w:t>.</w:t>
      </w:r>
    </w:p>
    <w:p w14:paraId="6C6181DD" w14:textId="312EAB35" w:rsidR="00296546" w:rsidRDefault="00296546" w:rsidP="00AB61B5">
      <w:pPr>
        <w:pStyle w:val="ListParagraph"/>
        <w:numPr>
          <w:ilvl w:val="0"/>
          <w:numId w:val="4"/>
        </w:numPr>
      </w:pPr>
      <w:r>
        <w:t xml:space="preserve">Takes approximately 15-20 minutes to administer. </w:t>
      </w:r>
      <w:bookmarkStart w:id="0" w:name="_GoBack"/>
      <w:bookmarkEnd w:id="0"/>
    </w:p>
    <w:p w14:paraId="22231F9D" w14:textId="77777777" w:rsidR="00290498" w:rsidRDefault="00290498"/>
    <w:p w14:paraId="66BAFCAA" w14:textId="77777777" w:rsidR="00706AB9" w:rsidRDefault="00706AB9"/>
    <w:p w14:paraId="3880895A" w14:textId="52932A74" w:rsidR="00290498" w:rsidRDefault="00290498">
      <w:r>
        <w:t>Additional Resources:</w:t>
      </w:r>
    </w:p>
    <w:p w14:paraId="45B33586" w14:textId="25C46A41" w:rsidR="00290498" w:rsidRDefault="00290498" w:rsidP="00590C4F">
      <w:pPr>
        <w:pStyle w:val="ListParagraph"/>
        <w:numPr>
          <w:ilvl w:val="0"/>
          <w:numId w:val="3"/>
        </w:numPr>
      </w:pPr>
      <w:hyperlink r:id="rId8" w:history="1">
        <w:r w:rsidRPr="00424023">
          <w:rPr>
            <w:rStyle w:val="Hyperlink"/>
          </w:rPr>
          <w:t>https://www.cdc.gov/steadi/index.html</w:t>
        </w:r>
      </w:hyperlink>
    </w:p>
    <w:p w14:paraId="69C2D6F3" w14:textId="3E846694" w:rsidR="00290498" w:rsidRDefault="00F75B86" w:rsidP="00590C4F">
      <w:pPr>
        <w:pStyle w:val="ListParagraph"/>
        <w:numPr>
          <w:ilvl w:val="0"/>
          <w:numId w:val="3"/>
        </w:numPr>
      </w:pPr>
      <w:hyperlink r:id="rId9" w:history="1">
        <w:r w:rsidRPr="00424023">
          <w:rPr>
            <w:rStyle w:val="Hyperlink"/>
          </w:rPr>
          <w:t>https://www.youtube.com/watch?v=MPDiN0TNLt4</w:t>
        </w:r>
      </w:hyperlink>
    </w:p>
    <w:p w14:paraId="2ADC9212" w14:textId="037A8253" w:rsidR="00F75B86" w:rsidRDefault="00590C4F" w:rsidP="00590C4F">
      <w:pPr>
        <w:pStyle w:val="ListParagraph"/>
        <w:numPr>
          <w:ilvl w:val="0"/>
          <w:numId w:val="3"/>
        </w:numPr>
      </w:pPr>
      <w:hyperlink r:id="rId10" w:history="1">
        <w:r w:rsidRPr="00424023">
          <w:rPr>
            <w:rStyle w:val="Hyperlink"/>
          </w:rPr>
          <w:t>https://www.ncoa.org/wp-content/uploads/STEADI-Webinar-Slidedeck.pdf</w:t>
        </w:r>
      </w:hyperlink>
    </w:p>
    <w:p w14:paraId="7A27B1E3" w14:textId="56739940" w:rsidR="00706AB9" w:rsidRDefault="00706AB9" w:rsidP="00590C4F">
      <w:pPr>
        <w:pStyle w:val="ListParagraph"/>
        <w:numPr>
          <w:ilvl w:val="0"/>
          <w:numId w:val="3"/>
        </w:numPr>
      </w:pPr>
      <w:hyperlink r:id="rId11" w:history="1">
        <w:r w:rsidRPr="00424023">
          <w:rPr>
            <w:rStyle w:val="Hyperlink"/>
          </w:rPr>
          <w:t>https://www.ncbi.nlm.nih.gov/pmc/articles/PMC4707964/</w:t>
        </w:r>
      </w:hyperlink>
    </w:p>
    <w:p w14:paraId="189036A0" w14:textId="72C6327C" w:rsidR="0023518F" w:rsidRDefault="0023518F" w:rsidP="0023518F">
      <w:pPr>
        <w:pStyle w:val="ListParagraph"/>
        <w:numPr>
          <w:ilvl w:val="0"/>
          <w:numId w:val="3"/>
        </w:numPr>
      </w:pPr>
      <w:r w:rsidRPr="0023518F">
        <w:t>https://www.cdc.gov/steadi/pdf/algorithm_2015-04-a.pdf</w:t>
      </w:r>
    </w:p>
    <w:p w14:paraId="62F98509" w14:textId="77777777" w:rsidR="00760C81" w:rsidRPr="00E00244" w:rsidRDefault="00760C81"/>
    <w:p w14:paraId="197183D0" w14:textId="699A036E" w:rsidR="00760C81" w:rsidRPr="00E00244" w:rsidRDefault="00760C81">
      <w:r w:rsidRPr="00E00244">
        <w:t>References:</w:t>
      </w:r>
    </w:p>
    <w:p w14:paraId="4567F2EC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shd w:val="clear" w:color="auto" w:fill="FFFFFF"/>
        </w:rPr>
      </w:pPr>
      <w:hyperlink r:id="rId12" w:history="1">
        <w:r w:rsidRPr="00E00244">
          <w:rPr>
            <w:rStyle w:val="Hyperlink"/>
            <w:rFonts w:eastAsia="Times New Roman" w:cs="Times New Roman"/>
            <w:shd w:val="clear" w:color="auto" w:fill="FFFFFF"/>
          </w:rPr>
          <w:t>https://w</w:t>
        </w:r>
        <w:r w:rsidRPr="00E00244">
          <w:rPr>
            <w:rStyle w:val="Hyperlink"/>
            <w:rFonts w:eastAsia="Times New Roman" w:cs="Times New Roman"/>
            <w:shd w:val="clear" w:color="auto" w:fill="FFFFFF"/>
          </w:rPr>
          <w:t>w</w:t>
        </w:r>
        <w:r w:rsidRPr="00E00244">
          <w:rPr>
            <w:rStyle w:val="Hyperlink"/>
            <w:rFonts w:eastAsia="Times New Roman" w:cs="Times New Roman"/>
            <w:shd w:val="clear" w:color="auto" w:fill="FFFFFF"/>
          </w:rPr>
          <w:t>w.cdc.gov/steadi/pdf/risk_factors_for_falls-a.pdf</w:t>
        </w:r>
      </w:hyperlink>
    </w:p>
    <w:p w14:paraId="72926862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E00244">
        <w:rPr>
          <w:rFonts w:eastAsia="Times New Roman" w:cs="Times New Roman"/>
          <w:color w:val="000000"/>
          <w:shd w:val="clear" w:color="auto" w:fill="FFFFFF"/>
        </w:rPr>
        <w:t xml:space="preserve">Jones TS, Ghosh TS, Horn K, Smith J, Vogt RL. Primary care </w:t>
      </w:r>
      <w:proofErr w:type="gramStart"/>
      <w:r w:rsidRPr="00E00244">
        <w:rPr>
          <w:rFonts w:eastAsia="Times New Roman" w:cs="Times New Roman"/>
          <w:color w:val="000000"/>
          <w:shd w:val="clear" w:color="auto" w:fill="FFFFFF"/>
        </w:rPr>
        <w:t>physicians</w:t>
      </w:r>
      <w:proofErr w:type="gramEnd"/>
      <w:r w:rsidRPr="00E00244">
        <w:rPr>
          <w:rFonts w:eastAsia="Times New Roman" w:cs="Times New Roman"/>
          <w:color w:val="000000"/>
          <w:shd w:val="clear" w:color="auto" w:fill="FFFFFF"/>
        </w:rPr>
        <w:t xml:space="preserve"> perceptions and practices regarding fall prevention in adults 65 years and over. </w:t>
      </w:r>
      <w:proofErr w:type="spellStart"/>
      <w:r w:rsidRPr="00E00244">
        <w:rPr>
          <w:rFonts w:eastAsia="Times New Roman" w:cs="Times New Roman"/>
          <w:color w:val="000000"/>
          <w:shd w:val="clear" w:color="auto" w:fill="FFFFFF"/>
        </w:rPr>
        <w:t>Accid</w:t>
      </w:r>
      <w:proofErr w:type="spellEnd"/>
      <w:r w:rsidRPr="00E00244">
        <w:rPr>
          <w:rFonts w:eastAsia="Times New Roman" w:cs="Times New Roman"/>
          <w:color w:val="000000"/>
          <w:shd w:val="clear" w:color="auto" w:fill="FFFFFF"/>
        </w:rPr>
        <w:t xml:space="preserve"> Anal </w:t>
      </w:r>
      <w:proofErr w:type="spellStart"/>
      <w:r w:rsidRPr="00E00244">
        <w:rPr>
          <w:rFonts w:eastAsia="Times New Roman" w:cs="Times New Roman"/>
          <w:color w:val="000000"/>
          <w:shd w:val="clear" w:color="auto" w:fill="FFFFFF"/>
        </w:rPr>
        <w:t>Prev</w:t>
      </w:r>
      <w:proofErr w:type="spellEnd"/>
      <w:r w:rsidRPr="00E00244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E00244">
        <w:rPr>
          <w:rFonts w:eastAsia="Times New Roman" w:cs="Times New Roman"/>
          <w:color w:val="000000"/>
          <w:shd w:val="clear" w:color="auto" w:fill="FFFFFF"/>
        </w:rPr>
        <w:t>2011;43:1605</w:t>
      </w:r>
      <w:proofErr w:type="gramEnd"/>
      <w:r w:rsidRPr="00E00244">
        <w:rPr>
          <w:rFonts w:eastAsia="Times New Roman" w:cs="Times New Roman"/>
          <w:color w:val="000000"/>
          <w:shd w:val="clear" w:color="auto" w:fill="FFFFFF"/>
        </w:rPr>
        <w:t>–9</w:t>
      </w:r>
    </w:p>
    <w:p w14:paraId="65C4785D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 w:themeColor="text1"/>
        </w:rPr>
      </w:pPr>
      <w:proofErr w:type="spellStart"/>
      <w:r w:rsidRPr="00E00244">
        <w:rPr>
          <w:rFonts w:eastAsia="Times New Roman" w:cs="Arial"/>
          <w:color w:val="000000" w:themeColor="text1"/>
        </w:rPr>
        <w:t>Tinetti</w:t>
      </w:r>
      <w:proofErr w:type="spellEnd"/>
      <w:r w:rsidRPr="00E00244">
        <w:rPr>
          <w:rFonts w:eastAsia="Times New Roman" w:cs="Arial"/>
          <w:color w:val="000000" w:themeColor="text1"/>
        </w:rPr>
        <w:t xml:space="preserve"> ME, Williams CS. Falls, injuries due to falls, and the risk of admission to a nursing home. </w:t>
      </w:r>
      <w:r w:rsidRPr="00E00244">
        <w:rPr>
          <w:rFonts w:eastAsia="Times New Roman" w:cs="Arial"/>
          <w:i/>
          <w:iCs/>
          <w:color w:val="000000" w:themeColor="text1"/>
        </w:rPr>
        <w:t xml:space="preserve">N </w:t>
      </w:r>
      <w:proofErr w:type="spellStart"/>
      <w:r w:rsidRPr="00E00244">
        <w:rPr>
          <w:rFonts w:eastAsia="Times New Roman" w:cs="Arial"/>
          <w:i/>
          <w:iCs/>
          <w:color w:val="000000" w:themeColor="text1"/>
        </w:rPr>
        <w:t>Engl</w:t>
      </w:r>
      <w:proofErr w:type="spellEnd"/>
      <w:r w:rsidRPr="00E00244">
        <w:rPr>
          <w:rFonts w:eastAsia="Times New Roman" w:cs="Arial"/>
          <w:i/>
          <w:iCs/>
          <w:color w:val="000000" w:themeColor="text1"/>
        </w:rPr>
        <w:t xml:space="preserve"> J Med</w:t>
      </w:r>
      <w:r w:rsidRPr="00E00244">
        <w:rPr>
          <w:rFonts w:eastAsia="Times New Roman" w:cs="Arial"/>
          <w:color w:val="000000" w:themeColor="text1"/>
        </w:rPr>
        <w:t xml:space="preserve">. </w:t>
      </w:r>
      <w:proofErr w:type="gramStart"/>
      <w:r w:rsidRPr="00E00244">
        <w:rPr>
          <w:rFonts w:eastAsia="Times New Roman" w:cs="Arial"/>
          <w:color w:val="000000" w:themeColor="text1"/>
        </w:rPr>
        <w:t>1997;337:1279</w:t>
      </w:r>
      <w:proofErr w:type="gramEnd"/>
      <w:r w:rsidRPr="00E00244">
        <w:rPr>
          <w:rFonts w:eastAsia="Times New Roman" w:cs="Arial"/>
          <w:color w:val="000000" w:themeColor="text1"/>
        </w:rPr>
        <w:t>-1248.</w:t>
      </w:r>
    </w:p>
    <w:p w14:paraId="7FAA2C45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proofErr w:type="spellStart"/>
      <w:r w:rsidRPr="00E00244">
        <w:rPr>
          <w:rFonts w:eastAsia="Times New Roman" w:cs="Times New Roman"/>
          <w:bdr w:val="none" w:sz="0" w:space="0" w:color="auto" w:frame="1"/>
        </w:rPr>
        <w:t>Tinetti</w:t>
      </w:r>
      <w:proofErr w:type="spellEnd"/>
      <w:r w:rsidRPr="00E00244">
        <w:rPr>
          <w:rFonts w:eastAsia="Times New Roman" w:cs="Times New Roman"/>
          <w:bdr w:val="none" w:sz="0" w:space="0" w:color="auto" w:frame="1"/>
        </w:rPr>
        <w:t xml:space="preserve"> ME</w:t>
      </w:r>
      <w:r w:rsidRPr="00E00244">
        <w:rPr>
          <w:rFonts w:eastAsia="Times New Roman" w:cs="Arial"/>
          <w:color w:val="333333"/>
          <w:shd w:val="clear" w:color="auto" w:fill="FFFFFF"/>
        </w:rPr>
        <w:t>, </w:t>
      </w:r>
      <w:proofErr w:type="spellStart"/>
      <w:r w:rsidRPr="00E00244">
        <w:rPr>
          <w:rFonts w:eastAsia="Times New Roman" w:cs="Times New Roman"/>
          <w:bdr w:val="none" w:sz="0" w:space="0" w:color="auto" w:frame="1"/>
        </w:rPr>
        <w:t>Speechley</w:t>
      </w:r>
      <w:proofErr w:type="spellEnd"/>
      <w:r w:rsidRPr="00E00244">
        <w:rPr>
          <w:rFonts w:eastAsia="Times New Roman" w:cs="Times New Roman"/>
          <w:bdr w:val="none" w:sz="0" w:space="0" w:color="auto" w:frame="1"/>
        </w:rPr>
        <w:t xml:space="preserve"> M</w:t>
      </w:r>
      <w:r w:rsidRPr="00E00244">
        <w:rPr>
          <w:rFonts w:eastAsia="Times New Roman" w:cs="Arial"/>
          <w:color w:val="333333"/>
          <w:shd w:val="clear" w:color="auto" w:fill="FFFFFF"/>
        </w:rPr>
        <w:t>, </w:t>
      </w:r>
      <w:proofErr w:type="spellStart"/>
      <w:r w:rsidRPr="00E00244">
        <w:rPr>
          <w:rFonts w:eastAsia="Times New Roman" w:cs="Times New Roman"/>
          <w:bdr w:val="none" w:sz="0" w:space="0" w:color="auto" w:frame="1"/>
        </w:rPr>
        <w:t>Ginter</w:t>
      </w:r>
      <w:proofErr w:type="spellEnd"/>
      <w:r w:rsidRPr="00E00244">
        <w:rPr>
          <w:rFonts w:eastAsia="Times New Roman" w:cs="Times New Roman"/>
          <w:bdr w:val="none" w:sz="0" w:space="0" w:color="auto" w:frame="1"/>
        </w:rPr>
        <w:t xml:space="preserve"> SF</w:t>
      </w:r>
      <w:r w:rsidRPr="00E00244">
        <w:rPr>
          <w:rFonts w:eastAsia="Times New Roman" w:cs="Arial"/>
          <w:color w:val="333333"/>
          <w:shd w:val="clear" w:color="auto" w:fill="FFFFFF"/>
        </w:rPr>
        <w:t>. Risk factors for falls among elderly persons living in the community. </w:t>
      </w:r>
      <w:r w:rsidRPr="00E00244">
        <w:rPr>
          <w:rFonts w:eastAsia="Times New Roman" w:cs="Arial"/>
          <w:color w:val="333333"/>
          <w:bdr w:val="none" w:sz="0" w:space="0" w:color="auto" w:frame="1"/>
        </w:rPr>
        <w:t xml:space="preserve">N </w:t>
      </w:r>
      <w:proofErr w:type="spellStart"/>
      <w:r w:rsidRPr="00E00244">
        <w:rPr>
          <w:rFonts w:eastAsia="Times New Roman" w:cs="Arial"/>
          <w:color w:val="333333"/>
          <w:bdr w:val="none" w:sz="0" w:space="0" w:color="auto" w:frame="1"/>
        </w:rPr>
        <w:t>Engl</w:t>
      </w:r>
      <w:proofErr w:type="spellEnd"/>
      <w:r w:rsidRPr="00E00244">
        <w:rPr>
          <w:rFonts w:eastAsia="Times New Roman" w:cs="Arial"/>
          <w:color w:val="333333"/>
          <w:bdr w:val="none" w:sz="0" w:space="0" w:color="auto" w:frame="1"/>
        </w:rPr>
        <w:t xml:space="preserve"> J Med</w:t>
      </w:r>
      <w:r w:rsidRPr="00E00244">
        <w:rPr>
          <w:rFonts w:eastAsia="Times New Roman" w:cs="Arial"/>
          <w:color w:val="333333"/>
          <w:shd w:val="clear" w:color="auto" w:fill="FFFFFF"/>
        </w:rPr>
        <w:t> </w:t>
      </w:r>
      <w:proofErr w:type="gramStart"/>
      <w:r w:rsidRPr="00E00244">
        <w:rPr>
          <w:rFonts w:eastAsia="Times New Roman" w:cs="Arial"/>
          <w:color w:val="333333"/>
          <w:shd w:val="clear" w:color="auto" w:fill="FFFFFF"/>
        </w:rPr>
        <w:t>1988;319:1701</w:t>
      </w:r>
      <w:proofErr w:type="gramEnd"/>
      <w:r w:rsidRPr="00E00244">
        <w:rPr>
          <w:rFonts w:eastAsia="Times New Roman" w:cs="Arial"/>
          <w:color w:val="333333"/>
          <w:shd w:val="clear" w:color="auto" w:fill="FFFFFF"/>
        </w:rPr>
        <w:t>-1707</w:t>
      </w:r>
    </w:p>
    <w:p w14:paraId="1E437C6B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Times New Roman"/>
          <w:color w:val="000000"/>
          <w:shd w:val="clear" w:color="auto" w:fill="FFFFFF"/>
        </w:rPr>
      </w:pPr>
      <w:r w:rsidRPr="00E00244">
        <w:rPr>
          <w:rFonts w:eastAsia="Times New Roman" w:cs="Times New Roman"/>
          <w:color w:val="000000"/>
          <w:shd w:val="clear" w:color="auto" w:fill="FFFFFF"/>
        </w:rPr>
        <w:t xml:space="preserve">Stevens JA, Phelan EA. Development of STEADI: a fall prevention resource for health care providers. Health </w:t>
      </w:r>
      <w:proofErr w:type="spellStart"/>
      <w:r w:rsidRPr="00E00244">
        <w:rPr>
          <w:rFonts w:eastAsia="Times New Roman" w:cs="Times New Roman"/>
          <w:color w:val="000000"/>
          <w:shd w:val="clear" w:color="auto" w:fill="FFFFFF"/>
        </w:rPr>
        <w:t>Promot</w:t>
      </w:r>
      <w:proofErr w:type="spellEnd"/>
      <w:r w:rsidRPr="00E00244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E00244">
        <w:rPr>
          <w:rFonts w:eastAsia="Times New Roman" w:cs="Times New Roman"/>
          <w:color w:val="000000"/>
          <w:shd w:val="clear" w:color="auto" w:fill="FFFFFF"/>
        </w:rPr>
        <w:t>Pract</w:t>
      </w:r>
      <w:proofErr w:type="spellEnd"/>
      <w:r w:rsidRPr="00E00244">
        <w:rPr>
          <w:rFonts w:eastAsia="Times New Roman" w:cs="Times New Roman"/>
          <w:color w:val="000000"/>
          <w:shd w:val="clear" w:color="auto" w:fill="FFFFFF"/>
        </w:rPr>
        <w:t xml:space="preserve"> </w:t>
      </w:r>
      <w:proofErr w:type="gramStart"/>
      <w:r w:rsidRPr="00E00244">
        <w:rPr>
          <w:rFonts w:eastAsia="Times New Roman" w:cs="Times New Roman"/>
          <w:color w:val="000000"/>
          <w:shd w:val="clear" w:color="auto" w:fill="FFFFFF"/>
        </w:rPr>
        <w:t>2013;14:706</w:t>
      </w:r>
      <w:proofErr w:type="gramEnd"/>
      <w:r w:rsidRPr="00E00244">
        <w:rPr>
          <w:rFonts w:eastAsia="Times New Roman" w:cs="Times New Roman"/>
          <w:color w:val="000000"/>
          <w:shd w:val="clear" w:color="auto" w:fill="FFFFFF"/>
        </w:rPr>
        <w:t>–14.</w:t>
      </w:r>
    </w:p>
    <w:p w14:paraId="0FB6BEC3" w14:textId="77777777" w:rsidR="00E00244" w:rsidRPr="00E00244" w:rsidRDefault="00E00244" w:rsidP="00E00244">
      <w:pPr>
        <w:pStyle w:val="ListParagraph"/>
        <w:numPr>
          <w:ilvl w:val="0"/>
          <w:numId w:val="1"/>
        </w:numPr>
        <w:rPr>
          <w:rFonts w:eastAsia="Times New Roman" w:cs="Arial"/>
          <w:color w:val="000000" w:themeColor="text1"/>
        </w:rPr>
      </w:pPr>
      <w:r w:rsidRPr="00E00244">
        <w:rPr>
          <w:rFonts w:eastAsia="Times New Roman" w:cs="Arial"/>
          <w:color w:val="000000" w:themeColor="text1"/>
        </w:rPr>
        <w:t xml:space="preserve">Bergen G, Stevens MR, Burns ER. Falls and Fall Injuries Among Adults Aged ≥65 Years — United States, 2014. MMWR </w:t>
      </w:r>
      <w:proofErr w:type="spellStart"/>
      <w:r w:rsidRPr="00E00244">
        <w:rPr>
          <w:rFonts w:eastAsia="Times New Roman" w:cs="Arial"/>
          <w:color w:val="000000" w:themeColor="text1"/>
        </w:rPr>
        <w:t>Morb</w:t>
      </w:r>
      <w:proofErr w:type="spellEnd"/>
      <w:r w:rsidRPr="00E00244">
        <w:rPr>
          <w:rFonts w:eastAsia="Times New Roman" w:cs="Arial"/>
          <w:color w:val="000000" w:themeColor="text1"/>
        </w:rPr>
        <w:t xml:space="preserve"> Mortal </w:t>
      </w:r>
      <w:proofErr w:type="spellStart"/>
      <w:r w:rsidRPr="00E00244">
        <w:rPr>
          <w:rFonts w:eastAsia="Times New Roman" w:cs="Arial"/>
          <w:color w:val="000000" w:themeColor="text1"/>
        </w:rPr>
        <w:t>Wkly</w:t>
      </w:r>
      <w:proofErr w:type="spellEnd"/>
      <w:r w:rsidRPr="00E00244">
        <w:rPr>
          <w:rFonts w:eastAsia="Times New Roman" w:cs="Arial"/>
          <w:color w:val="000000" w:themeColor="text1"/>
        </w:rPr>
        <w:t xml:space="preserve"> Rep </w:t>
      </w:r>
      <w:proofErr w:type="gramStart"/>
      <w:r w:rsidRPr="00E00244">
        <w:rPr>
          <w:rFonts w:eastAsia="Times New Roman" w:cs="Arial"/>
          <w:color w:val="000000" w:themeColor="text1"/>
        </w:rPr>
        <w:t>2016;65:993</w:t>
      </w:r>
      <w:proofErr w:type="gramEnd"/>
      <w:r w:rsidRPr="00E00244">
        <w:rPr>
          <w:rFonts w:eastAsia="Times New Roman" w:cs="Arial"/>
          <w:color w:val="000000" w:themeColor="text1"/>
        </w:rPr>
        <w:t>–998. DOI:</w:t>
      </w:r>
      <w:r w:rsidRPr="00E00244">
        <w:rPr>
          <w:rFonts w:cs="Arial"/>
        </w:rPr>
        <w:t> </w:t>
      </w:r>
      <w:hyperlink r:id="rId13" w:tgtFrame="_self" w:history="1">
        <w:r w:rsidRPr="00E00244">
          <w:rPr>
            <w:rFonts w:cs="Arial"/>
          </w:rPr>
          <w:t>http://dx.doi.org/10.15585/mmwr.mm6537a2</w:t>
        </w:r>
      </w:hyperlink>
      <w:r w:rsidRPr="00E00244">
        <w:rPr>
          <w:rFonts w:eastAsia="Times New Roman" w:cs="Arial"/>
          <w:color w:val="000000" w:themeColor="text1"/>
        </w:rPr>
        <w:t>.</w:t>
      </w:r>
    </w:p>
    <w:p w14:paraId="120E3084" w14:textId="1D54FF71" w:rsidR="00E00244" w:rsidRDefault="00E00244" w:rsidP="007E0226">
      <w:pPr>
        <w:pStyle w:val="ListParagraph"/>
        <w:numPr>
          <w:ilvl w:val="0"/>
          <w:numId w:val="1"/>
        </w:numPr>
        <w:rPr>
          <w:rFonts w:eastAsia="Times New Roman" w:cs="Arial"/>
          <w:color w:val="000000" w:themeColor="text1"/>
        </w:rPr>
      </w:pPr>
      <w:r w:rsidRPr="00E00244">
        <w:rPr>
          <w:rFonts w:eastAsia="Times New Roman" w:cs="Arial"/>
          <w:color w:val="000000" w:themeColor="text1"/>
        </w:rPr>
        <w:t>https://www.cdc.gov/steadi/stories/hospital.html</w:t>
      </w:r>
    </w:p>
    <w:p w14:paraId="602698F1" w14:textId="77777777" w:rsidR="00931DA8" w:rsidRPr="00931DA8" w:rsidRDefault="00931DA8" w:rsidP="00E00244">
      <w:pPr>
        <w:pStyle w:val="ListParagraph"/>
        <w:ind w:left="360"/>
        <w:rPr>
          <w:rFonts w:ascii="Times New Roman" w:eastAsia="Times New Roman" w:hAnsi="Times New Roman" w:cs="Times New Roman"/>
        </w:rPr>
      </w:pPr>
    </w:p>
    <w:p w14:paraId="2DE62B3E" w14:textId="77777777" w:rsidR="00931DA8" w:rsidRPr="00931DA8" w:rsidRDefault="00931DA8" w:rsidP="00931DA8">
      <w:pPr>
        <w:rPr>
          <w:rFonts w:ascii="Times New Roman" w:eastAsia="Times New Roman" w:hAnsi="Times New Roman" w:cs="Times New Roman"/>
        </w:rPr>
      </w:pPr>
    </w:p>
    <w:p w14:paraId="1436F072" w14:textId="5DAA3B8A" w:rsidR="00760C81" w:rsidRDefault="00760C81"/>
    <w:sectPr w:rsidR="00760C81" w:rsidSect="003A6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958DE" w14:textId="77777777" w:rsidR="004534D5" w:rsidRDefault="004534D5" w:rsidP="007E0226">
      <w:r>
        <w:separator/>
      </w:r>
    </w:p>
  </w:endnote>
  <w:endnote w:type="continuationSeparator" w:id="0">
    <w:p w14:paraId="46E747AA" w14:textId="77777777" w:rsidR="004534D5" w:rsidRDefault="004534D5" w:rsidP="007E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36095" w14:textId="77777777" w:rsidR="004534D5" w:rsidRDefault="004534D5" w:rsidP="007E0226">
      <w:r>
        <w:separator/>
      </w:r>
    </w:p>
  </w:footnote>
  <w:footnote w:type="continuationSeparator" w:id="0">
    <w:p w14:paraId="43E41A92" w14:textId="77777777" w:rsidR="004534D5" w:rsidRDefault="004534D5" w:rsidP="007E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65AB8"/>
    <w:multiLevelType w:val="hybridMultilevel"/>
    <w:tmpl w:val="DEF4E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F02DA"/>
    <w:multiLevelType w:val="hybridMultilevel"/>
    <w:tmpl w:val="0E36A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62BD3"/>
    <w:multiLevelType w:val="hybridMultilevel"/>
    <w:tmpl w:val="AB0C8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F85336"/>
    <w:multiLevelType w:val="hybridMultilevel"/>
    <w:tmpl w:val="22962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81"/>
    <w:rsid w:val="000069A9"/>
    <w:rsid w:val="00064E99"/>
    <w:rsid w:val="000B2AEB"/>
    <w:rsid w:val="000B48B3"/>
    <w:rsid w:val="000B69E3"/>
    <w:rsid w:val="00166DC7"/>
    <w:rsid w:val="00167161"/>
    <w:rsid w:val="0023518F"/>
    <w:rsid w:val="00272D34"/>
    <w:rsid w:val="00290498"/>
    <w:rsid w:val="00296546"/>
    <w:rsid w:val="002D281F"/>
    <w:rsid w:val="002F3EEA"/>
    <w:rsid w:val="00305058"/>
    <w:rsid w:val="00343FF4"/>
    <w:rsid w:val="00363FA2"/>
    <w:rsid w:val="00384A5A"/>
    <w:rsid w:val="003A6227"/>
    <w:rsid w:val="003B2A31"/>
    <w:rsid w:val="00422A5A"/>
    <w:rsid w:val="004534D5"/>
    <w:rsid w:val="004720C7"/>
    <w:rsid w:val="004E6543"/>
    <w:rsid w:val="00590C4F"/>
    <w:rsid w:val="00612BF9"/>
    <w:rsid w:val="00662010"/>
    <w:rsid w:val="006637C1"/>
    <w:rsid w:val="0069147E"/>
    <w:rsid w:val="006B2E7F"/>
    <w:rsid w:val="006D2082"/>
    <w:rsid w:val="006D4BCF"/>
    <w:rsid w:val="006E17BF"/>
    <w:rsid w:val="00706AB9"/>
    <w:rsid w:val="00760C81"/>
    <w:rsid w:val="00767AFB"/>
    <w:rsid w:val="007E0226"/>
    <w:rsid w:val="00893B4F"/>
    <w:rsid w:val="00916AF1"/>
    <w:rsid w:val="00925ABD"/>
    <w:rsid w:val="00931DA8"/>
    <w:rsid w:val="009D29B0"/>
    <w:rsid w:val="009F55E0"/>
    <w:rsid w:val="00A40BB0"/>
    <w:rsid w:val="00A71BEC"/>
    <w:rsid w:val="00AB61B5"/>
    <w:rsid w:val="00AC46C7"/>
    <w:rsid w:val="00B07AB9"/>
    <w:rsid w:val="00B12E1A"/>
    <w:rsid w:val="00B40B02"/>
    <w:rsid w:val="00B61E55"/>
    <w:rsid w:val="00BB7A8F"/>
    <w:rsid w:val="00C421AB"/>
    <w:rsid w:val="00CB6BFA"/>
    <w:rsid w:val="00CC32C2"/>
    <w:rsid w:val="00CE3490"/>
    <w:rsid w:val="00D727D2"/>
    <w:rsid w:val="00D84E99"/>
    <w:rsid w:val="00D97F2B"/>
    <w:rsid w:val="00DF7C35"/>
    <w:rsid w:val="00E00244"/>
    <w:rsid w:val="00E1197C"/>
    <w:rsid w:val="00E129C3"/>
    <w:rsid w:val="00EC4DBF"/>
    <w:rsid w:val="00F61056"/>
    <w:rsid w:val="00F75B86"/>
    <w:rsid w:val="00FD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47A9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2BF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31DA8"/>
    <w:pPr>
      <w:ind w:left="720"/>
      <w:contextualSpacing/>
    </w:pPr>
  </w:style>
  <w:style w:type="character" w:customStyle="1" w:styleId="hlfld-contribauthor">
    <w:name w:val="hlfld-contribauthor"/>
    <w:basedOn w:val="DefaultParagraphFont"/>
    <w:rsid w:val="00F61056"/>
  </w:style>
  <w:style w:type="character" w:customStyle="1" w:styleId="apple-converted-space">
    <w:name w:val="apple-converted-space"/>
    <w:basedOn w:val="DefaultParagraphFont"/>
    <w:rsid w:val="00F61056"/>
  </w:style>
  <w:style w:type="character" w:customStyle="1" w:styleId="nlmsource">
    <w:name w:val="nlm_source"/>
    <w:basedOn w:val="DefaultParagraphFont"/>
    <w:rsid w:val="00F61056"/>
  </w:style>
  <w:style w:type="paragraph" w:styleId="Header">
    <w:name w:val="header"/>
    <w:basedOn w:val="Normal"/>
    <w:link w:val="HeaderChar"/>
    <w:uiPriority w:val="99"/>
    <w:unhideWhenUsed/>
    <w:rsid w:val="007E02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226"/>
  </w:style>
  <w:style w:type="paragraph" w:styleId="Footer">
    <w:name w:val="footer"/>
    <w:basedOn w:val="Normal"/>
    <w:link w:val="FooterChar"/>
    <w:uiPriority w:val="99"/>
    <w:unhideWhenUsed/>
    <w:rsid w:val="007E02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ncbi.nlm.nih.gov/pmc/articles/PMC4707964/" TargetMode="External"/><Relationship Id="rId12" Type="http://schemas.openxmlformats.org/officeDocument/2006/relationships/hyperlink" Target="https://www.cdc.gov/steadi/pdf/risk_factors_for_falls-a.pdf" TargetMode="External"/><Relationship Id="rId13" Type="http://schemas.openxmlformats.org/officeDocument/2006/relationships/hyperlink" Target="http://dx.doi.org/10.15585/mmwr.mm6537a2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cdc.gov/steadi/index.html" TargetMode="External"/><Relationship Id="rId9" Type="http://schemas.openxmlformats.org/officeDocument/2006/relationships/hyperlink" Target="https://www.youtube.com/watch?v=MPDiN0TNLt4" TargetMode="External"/><Relationship Id="rId10" Type="http://schemas.openxmlformats.org/officeDocument/2006/relationships/hyperlink" Target="https://www.ncoa.org/wp-content/uploads/STEADI-Webinar-Slidedec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F24208-7800-CB44-82C1-22C4B0B7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741</Words>
  <Characters>4227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Torres</dc:creator>
  <cp:keywords/>
  <dc:description/>
  <cp:lastModifiedBy>Caroline Torres</cp:lastModifiedBy>
  <cp:revision>9</cp:revision>
  <dcterms:created xsi:type="dcterms:W3CDTF">2017-05-30T21:47:00Z</dcterms:created>
  <dcterms:modified xsi:type="dcterms:W3CDTF">2017-07-09T01:53:00Z</dcterms:modified>
</cp:coreProperties>
</file>